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36" w:rsidRPr="003056F8" w:rsidRDefault="00A06136" w:rsidP="00A06136">
      <w:pPr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3056F8">
        <w:rPr>
          <w:rFonts w:ascii="Times New Roman" w:eastAsia="Times New Roman" w:hAnsi="Times New Roman"/>
          <w:b/>
          <w:sz w:val="24"/>
          <w:szCs w:val="24"/>
          <w:lang w:eastAsia="fr-FR"/>
        </w:rPr>
        <w:t>Titre :</w:t>
      </w:r>
      <w:r w:rsidRPr="003056F8">
        <w:rPr>
          <w:rFonts w:ascii="Times New Roman" w:eastAsia="Times New Roman" w:hAnsi="Times New Roman"/>
          <w:sz w:val="24"/>
          <w:szCs w:val="24"/>
          <w:lang w:eastAsia="fr-FR"/>
        </w:rPr>
        <w:t xml:space="preserve"> Capacité de </w:t>
      </w:r>
      <w:r w:rsidRPr="003056F8">
        <w:rPr>
          <w:rFonts w:ascii="Times New Roman" w:hAnsi="Times New Roman"/>
          <w:sz w:val="24"/>
          <w:szCs w:val="24"/>
        </w:rPr>
        <w:t xml:space="preserve">régénération de feuilles chez le </w:t>
      </w:r>
      <w:proofErr w:type="spellStart"/>
      <w:r w:rsidRPr="003056F8">
        <w:rPr>
          <w:rFonts w:ascii="Times New Roman" w:hAnsi="Times New Roman"/>
          <w:sz w:val="24"/>
          <w:szCs w:val="24"/>
        </w:rPr>
        <w:t>ravintsara</w:t>
      </w:r>
      <w:proofErr w:type="spellEnd"/>
      <w:r w:rsidRPr="003056F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56F8">
        <w:rPr>
          <w:rFonts w:ascii="Times New Roman" w:hAnsi="Times New Roman"/>
          <w:i/>
          <w:sz w:val="24"/>
          <w:szCs w:val="24"/>
        </w:rPr>
        <w:t>Cinnamomum</w:t>
      </w:r>
      <w:proofErr w:type="spellEnd"/>
      <w:r w:rsidRPr="003056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056F8">
        <w:rPr>
          <w:rFonts w:ascii="Times New Roman" w:hAnsi="Times New Roman"/>
          <w:i/>
          <w:sz w:val="24"/>
          <w:szCs w:val="24"/>
        </w:rPr>
        <w:t>camphora</w:t>
      </w:r>
      <w:proofErr w:type="spellEnd"/>
      <w:r w:rsidRPr="003056F8">
        <w:rPr>
          <w:rFonts w:ascii="Times New Roman" w:hAnsi="Times New Roman"/>
          <w:sz w:val="24"/>
          <w:szCs w:val="24"/>
        </w:rPr>
        <w:t>) selon l’intensité de prélèvement</w:t>
      </w:r>
    </w:p>
    <w:p w:rsidR="00A06136" w:rsidRPr="003056F8" w:rsidRDefault="00A06136" w:rsidP="00A06136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056F8">
        <w:rPr>
          <w:rFonts w:ascii="Times New Roman" w:eastAsia="Times New Roman" w:hAnsi="Times New Roman"/>
          <w:b/>
          <w:sz w:val="24"/>
          <w:szCs w:val="24"/>
          <w:lang w:eastAsia="fr-FR"/>
        </w:rPr>
        <w:t>Auteur principal :</w:t>
      </w:r>
      <w:r w:rsidRPr="003056F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056F8">
        <w:rPr>
          <w:rFonts w:ascii="Times New Roman" w:hAnsi="Times New Roman"/>
          <w:sz w:val="24"/>
          <w:szCs w:val="24"/>
        </w:rPr>
        <w:t xml:space="preserve">RASENDRAMIADANA </w:t>
      </w:r>
      <w:proofErr w:type="spellStart"/>
      <w:r w:rsidRPr="003056F8">
        <w:rPr>
          <w:rFonts w:ascii="Times New Roman" w:hAnsi="Times New Roman"/>
          <w:sz w:val="24"/>
          <w:szCs w:val="24"/>
        </w:rPr>
        <w:t>Faramalala</w:t>
      </w:r>
      <w:proofErr w:type="spellEnd"/>
    </w:p>
    <w:p w:rsidR="00A06136" w:rsidRPr="003056F8" w:rsidRDefault="00A06136" w:rsidP="00A06136">
      <w:pPr>
        <w:spacing w:after="0" w:line="360" w:lineRule="auto"/>
        <w:ind w:left="1985" w:hanging="1985"/>
        <w:jc w:val="both"/>
        <w:rPr>
          <w:rFonts w:ascii="Times New Roman" w:hAnsi="Times New Roman"/>
          <w:sz w:val="24"/>
          <w:szCs w:val="24"/>
        </w:rPr>
      </w:pPr>
      <w:r w:rsidRPr="003056F8">
        <w:rPr>
          <w:rFonts w:ascii="Times New Roman" w:hAnsi="Times New Roman"/>
          <w:sz w:val="24"/>
          <w:szCs w:val="24"/>
        </w:rPr>
        <w:tab/>
        <w:t>Institut Malgache de Recherches Appliquées (IMRA)</w:t>
      </w:r>
    </w:p>
    <w:p w:rsidR="00A06136" w:rsidRPr="003056F8" w:rsidRDefault="00A06136" w:rsidP="00A06136">
      <w:pPr>
        <w:spacing w:after="0" w:line="360" w:lineRule="auto"/>
        <w:ind w:left="1277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3056F8">
        <w:rPr>
          <w:rFonts w:ascii="Times New Roman" w:hAnsi="Times New Roman"/>
          <w:sz w:val="24"/>
          <w:szCs w:val="24"/>
          <w:lang w:val="en-US"/>
        </w:rPr>
        <w:t>Harvest and Post-Harvest Laboratory</w:t>
      </w:r>
    </w:p>
    <w:p w:rsidR="00A06136" w:rsidRPr="003056F8" w:rsidRDefault="00A06136" w:rsidP="00A06136">
      <w:pPr>
        <w:spacing w:after="0" w:line="360" w:lineRule="auto"/>
        <w:ind w:left="1277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3056F8">
        <w:rPr>
          <w:rFonts w:ascii="Times New Roman" w:hAnsi="Times New Roman"/>
          <w:sz w:val="24"/>
          <w:szCs w:val="24"/>
          <w:lang w:val="en-US"/>
        </w:rPr>
        <w:t>hphu.imra@gmail.com</w:t>
      </w:r>
    </w:p>
    <w:p w:rsidR="00A06136" w:rsidRPr="003056F8" w:rsidRDefault="00A06136" w:rsidP="00A061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56F8">
        <w:rPr>
          <w:rFonts w:ascii="Times New Roman" w:eastAsia="Times New Roman" w:hAnsi="Times New Roman"/>
          <w:b/>
          <w:sz w:val="24"/>
          <w:szCs w:val="24"/>
          <w:lang w:eastAsia="fr-FR"/>
        </w:rPr>
        <w:t>Auteurs associés:</w:t>
      </w:r>
      <w:r w:rsidRPr="003056F8">
        <w:rPr>
          <w:rFonts w:ascii="Times New Roman" w:hAnsi="Times New Roman"/>
          <w:sz w:val="24"/>
          <w:szCs w:val="24"/>
        </w:rPr>
        <w:t xml:space="preserve"> RABEHAJA Delphin et RAMAROSANDRATANA </w:t>
      </w:r>
      <w:proofErr w:type="spellStart"/>
      <w:r w:rsidRPr="003056F8">
        <w:rPr>
          <w:rFonts w:ascii="Times New Roman" w:hAnsi="Times New Roman"/>
          <w:sz w:val="24"/>
          <w:szCs w:val="24"/>
        </w:rPr>
        <w:t>Aro</w:t>
      </w:r>
      <w:proofErr w:type="spellEnd"/>
      <w:r w:rsidRPr="00305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56F8">
        <w:rPr>
          <w:rFonts w:ascii="Times New Roman" w:hAnsi="Times New Roman"/>
          <w:sz w:val="24"/>
          <w:szCs w:val="24"/>
        </w:rPr>
        <w:t>Vonjy</w:t>
      </w:r>
      <w:proofErr w:type="spellEnd"/>
    </w:p>
    <w:p w:rsidR="00A06136" w:rsidRPr="003056F8" w:rsidRDefault="00A06136" w:rsidP="00A06136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A06136" w:rsidRPr="003056F8" w:rsidRDefault="00A06136" w:rsidP="00A061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056F8">
        <w:rPr>
          <w:rFonts w:ascii="Times New Roman" w:hAnsi="Times New Roman"/>
          <w:b/>
          <w:sz w:val="24"/>
          <w:szCs w:val="24"/>
        </w:rPr>
        <w:t xml:space="preserve">RESUME </w:t>
      </w:r>
    </w:p>
    <w:p w:rsidR="00A06136" w:rsidRPr="003056F8" w:rsidRDefault="00A06136" w:rsidP="00A061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56F8">
        <w:rPr>
          <w:rFonts w:ascii="Times New Roman" w:hAnsi="Times New Roman"/>
          <w:sz w:val="24"/>
          <w:szCs w:val="24"/>
        </w:rPr>
        <w:t xml:space="preserve">L’huile essentielle de </w:t>
      </w:r>
      <w:proofErr w:type="spellStart"/>
      <w:r w:rsidRPr="003056F8">
        <w:rPr>
          <w:rFonts w:ascii="Times New Roman" w:hAnsi="Times New Roman"/>
          <w:sz w:val="24"/>
          <w:szCs w:val="24"/>
        </w:rPr>
        <w:t>ravintsara</w:t>
      </w:r>
      <w:proofErr w:type="spellEnd"/>
      <w:r w:rsidRPr="003056F8">
        <w:rPr>
          <w:rFonts w:ascii="Times New Roman" w:hAnsi="Times New Roman"/>
          <w:sz w:val="24"/>
          <w:szCs w:val="24"/>
        </w:rPr>
        <w:t xml:space="preserve"> est reconnue pour sa richesse exceptionnelle en 1,8-</w:t>
      </w:r>
      <w:proofErr w:type="spellStart"/>
      <w:r w:rsidRPr="003056F8">
        <w:rPr>
          <w:rFonts w:ascii="Times New Roman" w:hAnsi="Times New Roman"/>
          <w:sz w:val="24"/>
          <w:szCs w:val="24"/>
        </w:rPr>
        <w:t>cinéole</w:t>
      </w:r>
      <w:proofErr w:type="spellEnd"/>
      <w:r w:rsidRPr="003056F8">
        <w:rPr>
          <w:rFonts w:ascii="Times New Roman" w:hAnsi="Times New Roman"/>
          <w:sz w:val="24"/>
          <w:szCs w:val="24"/>
        </w:rPr>
        <w:t xml:space="preserve"> dont la teneur peut atteindre jusqu’à 70% et aussi par l’absence de camphre dans sa composition. Ces dernières années, la forte demande du marché international a entrainé une surexploitation des feuilles. Notre étude à pour but de déterminer la capacité de régénération de feuilles sur des individus âgés de 15ans en fonction d’un taux de prélèvement variant de 40 à 80%.</w:t>
      </w:r>
    </w:p>
    <w:p w:rsidR="00A06136" w:rsidRPr="003056F8" w:rsidRDefault="00A06136" w:rsidP="00A061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56F8">
        <w:rPr>
          <w:rFonts w:ascii="Times New Roman" w:hAnsi="Times New Roman"/>
          <w:sz w:val="24"/>
          <w:szCs w:val="24"/>
        </w:rPr>
        <w:t>Les résultats obtenus montrent que la régénération atteint 70%, trois mois après la récolte, à la suite d’un taux de prélèvement de 80%. Cependant, la majorité des feuilles nouvellement régénérées n’atteignent la pleine maturité que 6 mois après la récolte. Nous montrons également que le rendement en huile essentielle augmente progressivement de 0,8 à 1,6% pendant les six mois de régénération au bout desquels la teneur la plus élevée en 1,8-</w:t>
      </w:r>
      <w:proofErr w:type="spellStart"/>
      <w:r w:rsidRPr="003056F8">
        <w:rPr>
          <w:rFonts w:ascii="Times New Roman" w:hAnsi="Times New Roman"/>
          <w:sz w:val="24"/>
          <w:szCs w:val="24"/>
        </w:rPr>
        <w:t>cinéole</w:t>
      </w:r>
      <w:proofErr w:type="spellEnd"/>
      <w:r w:rsidRPr="003056F8">
        <w:rPr>
          <w:rFonts w:ascii="Times New Roman" w:hAnsi="Times New Roman"/>
          <w:sz w:val="24"/>
          <w:szCs w:val="24"/>
        </w:rPr>
        <w:t xml:space="preserve"> (&gt; 58%) a été observée. </w:t>
      </w:r>
    </w:p>
    <w:p w:rsidR="00A06136" w:rsidRPr="003056F8" w:rsidRDefault="00A06136" w:rsidP="00A061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56F8">
        <w:rPr>
          <w:rFonts w:ascii="Times New Roman" w:hAnsi="Times New Roman"/>
          <w:sz w:val="24"/>
          <w:szCs w:val="24"/>
        </w:rPr>
        <w:t xml:space="preserve">Nos résultats suggèrent que la récolte des feuilles de </w:t>
      </w:r>
      <w:proofErr w:type="spellStart"/>
      <w:r w:rsidRPr="003056F8">
        <w:rPr>
          <w:rFonts w:ascii="Times New Roman" w:hAnsi="Times New Roman"/>
          <w:sz w:val="24"/>
          <w:szCs w:val="24"/>
        </w:rPr>
        <w:t>ravintsara</w:t>
      </w:r>
      <w:proofErr w:type="spellEnd"/>
      <w:r w:rsidRPr="003056F8">
        <w:rPr>
          <w:rFonts w:ascii="Times New Roman" w:hAnsi="Times New Roman"/>
          <w:sz w:val="24"/>
          <w:szCs w:val="24"/>
        </w:rPr>
        <w:t xml:space="preserve"> pourrait être effectuée deux fois par an lorsqu’elle est opérée suffisamment tôt au mois d’octobre de l’année en cours permettant une seconde récolte au mois de Mars de l’année suivante. </w:t>
      </w:r>
    </w:p>
    <w:p w:rsidR="00A06136" w:rsidRPr="003056F8" w:rsidRDefault="00A06136" w:rsidP="00A061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56F8">
        <w:rPr>
          <w:rFonts w:ascii="Times New Roman" w:hAnsi="Times New Roman"/>
          <w:b/>
          <w:sz w:val="24"/>
          <w:szCs w:val="24"/>
        </w:rPr>
        <w:t>Mots-clés :</w:t>
      </w:r>
      <w:r w:rsidRPr="003056F8">
        <w:rPr>
          <w:rFonts w:ascii="Times New Roman" w:hAnsi="Times New Roman"/>
          <w:sz w:val="24"/>
          <w:szCs w:val="24"/>
        </w:rPr>
        <w:t xml:space="preserve"> 1,8-</w:t>
      </w:r>
      <w:proofErr w:type="spellStart"/>
      <w:r w:rsidRPr="003056F8">
        <w:rPr>
          <w:rFonts w:ascii="Times New Roman" w:hAnsi="Times New Roman"/>
          <w:sz w:val="24"/>
          <w:szCs w:val="24"/>
        </w:rPr>
        <w:t>cinéole</w:t>
      </w:r>
      <w:proofErr w:type="spellEnd"/>
      <w:r w:rsidRPr="003056F8">
        <w:rPr>
          <w:rFonts w:ascii="Times New Roman" w:hAnsi="Times New Roman"/>
          <w:sz w:val="24"/>
          <w:szCs w:val="24"/>
        </w:rPr>
        <w:t xml:space="preserve">, huile essentielle, </w:t>
      </w:r>
      <w:proofErr w:type="spellStart"/>
      <w:r w:rsidRPr="003056F8">
        <w:rPr>
          <w:rFonts w:ascii="Times New Roman" w:hAnsi="Times New Roman"/>
          <w:sz w:val="24"/>
          <w:szCs w:val="24"/>
        </w:rPr>
        <w:t>ravintsara</w:t>
      </w:r>
      <w:proofErr w:type="spellEnd"/>
      <w:r w:rsidRPr="003056F8">
        <w:rPr>
          <w:rFonts w:ascii="Times New Roman" w:hAnsi="Times New Roman"/>
          <w:sz w:val="24"/>
          <w:szCs w:val="24"/>
        </w:rPr>
        <w:t>, rendement</w:t>
      </w:r>
    </w:p>
    <w:p w:rsidR="00A06136" w:rsidRPr="003056F8" w:rsidRDefault="00A06136" w:rsidP="00A06136">
      <w:pPr>
        <w:spacing w:line="360" w:lineRule="auto"/>
        <w:rPr>
          <w:rFonts w:ascii="Times New Roman" w:hAnsi="Times New Roman"/>
          <w:sz w:val="24"/>
          <w:szCs w:val="24"/>
        </w:rPr>
      </w:pPr>
      <w:r w:rsidRPr="003056F8">
        <w:rPr>
          <w:rFonts w:ascii="Times New Roman" w:hAnsi="Times New Roman"/>
          <w:b/>
          <w:sz w:val="24"/>
          <w:szCs w:val="24"/>
        </w:rPr>
        <w:t>Type de présentation souhaité:</w:t>
      </w:r>
      <w:r w:rsidRPr="003056F8">
        <w:rPr>
          <w:rFonts w:ascii="Times New Roman" w:hAnsi="Times New Roman"/>
          <w:sz w:val="24"/>
          <w:szCs w:val="24"/>
        </w:rPr>
        <w:t xml:space="preserve"> Poster</w:t>
      </w:r>
    </w:p>
    <w:p w:rsidR="00A06136" w:rsidRPr="003056F8" w:rsidRDefault="00A06136" w:rsidP="00A061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6136" w:rsidRPr="003056F8" w:rsidRDefault="00A06136" w:rsidP="00A061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B4E61" w:rsidRDefault="00BB4E61"/>
    <w:sectPr w:rsidR="00BB4E61" w:rsidSect="00BB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A06136"/>
    <w:rsid w:val="002935CE"/>
    <w:rsid w:val="005052D9"/>
    <w:rsid w:val="008E69BB"/>
    <w:rsid w:val="00A06136"/>
    <w:rsid w:val="00A85B66"/>
    <w:rsid w:val="00BB4E61"/>
    <w:rsid w:val="00DE7818"/>
    <w:rsid w:val="00EA19CD"/>
    <w:rsid w:val="00F9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3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Iltud MADEC</dc:creator>
  <cp:lastModifiedBy>Iltud MADEC</cp:lastModifiedBy>
  <cp:revision>1</cp:revision>
  <dcterms:created xsi:type="dcterms:W3CDTF">2011-04-20T14:05:00Z</dcterms:created>
  <dcterms:modified xsi:type="dcterms:W3CDTF">2011-04-20T14:05:00Z</dcterms:modified>
</cp:coreProperties>
</file>